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E0" w:rsidRDefault="00C17042" w:rsidP="00BD2264">
      <w:pPr>
        <w:spacing w:before="0" w:after="0" w:line="480" w:lineRule="auto"/>
        <w:rPr>
          <w:sz w:val="20"/>
          <w:szCs w:val="20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F26C6A3" wp14:editId="1178181A">
            <wp:extent cx="2867025" cy="27432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750E0" w:rsidRPr="00E1791E" w:rsidRDefault="00D750E0" w:rsidP="00BD2264">
      <w:pPr>
        <w:spacing w:before="0" w:after="0" w:line="480" w:lineRule="auto"/>
        <w:rPr>
          <w:sz w:val="20"/>
          <w:szCs w:val="20"/>
        </w:rPr>
      </w:pPr>
    </w:p>
    <w:sectPr w:rsidR="00D750E0" w:rsidRPr="00E179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18"/>
    <w:rsid w:val="00076BE2"/>
    <w:rsid w:val="001A1417"/>
    <w:rsid w:val="001E5464"/>
    <w:rsid w:val="001F5429"/>
    <w:rsid w:val="0030224A"/>
    <w:rsid w:val="003B4676"/>
    <w:rsid w:val="003B6F2C"/>
    <w:rsid w:val="003F1D28"/>
    <w:rsid w:val="00460018"/>
    <w:rsid w:val="004D012B"/>
    <w:rsid w:val="00507BF5"/>
    <w:rsid w:val="0062379C"/>
    <w:rsid w:val="006A2FC5"/>
    <w:rsid w:val="00700439"/>
    <w:rsid w:val="0072055B"/>
    <w:rsid w:val="00854ABC"/>
    <w:rsid w:val="0086128D"/>
    <w:rsid w:val="0098099E"/>
    <w:rsid w:val="00A41D54"/>
    <w:rsid w:val="00A41F07"/>
    <w:rsid w:val="00AD0341"/>
    <w:rsid w:val="00BD2264"/>
    <w:rsid w:val="00C17042"/>
    <w:rsid w:val="00CB5E00"/>
    <w:rsid w:val="00D750E0"/>
    <w:rsid w:val="00D8220B"/>
    <w:rsid w:val="00E1791E"/>
    <w:rsid w:val="00F9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E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018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0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E2"/>
    <w:pPr>
      <w:spacing w:before="120" w:after="120"/>
      <w:jc w:val="both"/>
    </w:pPr>
    <w:rPr>
      <w:rFonts w:ascii="Times New Roman" w:eastAsia="Calibri" w:hAnsi="Times New Roman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018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0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711068093232533"/>
          <c:y val="5.0925925925925923E-2"/>
          <c:w val="0.77621157820388731"/>
          <c:h val="0.7620217264508603"/>
        </c:manualLayout>
      </c:layout>
      <c:scatterChart>
        <c:scatterStyle val="lineMarker"/>
        <c:varyColors val="0"/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0604127972375542"/>
                  <c:y val="2.7868547681539808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'Komar-Tolmachov'!$C$46:$C$51</c:f>
              <c:numCache>
                <c:formatCode>General</c:formatCode>
                <c:ptCount val="6"/>
                <c:pt idx="0">
                  <c:v>6.7517563706610613</c:v>
                </c:pt>
                <c:pt idx="1">
                  <c:v>3.7266917031512889</c:v>
                </c:pt>
                <c:pt idx="2">
                  <c:v>2.9942987384207926</c:v>
                </c:pt>
                <c:pt idx="3">
                  <c:v>1.7391712217605002</c:v>
                </c:pt>
                <c:pt idx="4">
                  <c:v>1.3354162688031559</c:v>
                </c:pt>
                <c:pt idx="5">
                  <c:v>0.98882483326683623</c:v>
                </c:pt>
              </c:numCache>
            </c:numRef>
          </c:xVal>
          <c:yVal>
            <c:numRef>
              <c:f>'Komar-Tolmachov'!$D$46:$D$51</c:f>
              <c:numCache>
                <c:formatCode>General</c:formatCode>
                <c:ptCount val="6"/>
                <c:pt idx="0">
                  <c:v>17.543859649122801</c:v>
                </c:pt>
                <c:pt idx="1">
                  <c:v>11.510791366906499</c:v>
                </c:pt>
                <c:pt idx="2">
                  <c:v>10.3626943005181</c:v>
                </c:pt>
                <c:pt idx="3">
                  <c:v>6.8807339449541303</c:v>
                </c:pt>
                <c:pt idx="4">
                  <c:v>6.1728395061728403</c:v>
                </c:pt>
                <c:pt idx="5">
                  <c:v>4.9164208456243896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429952"/>
        <c:axId val="94771072"/>
      </c:scatterChart>
      <c:valAx>
        <c:axId val="944299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 baseline="30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‒n/(n+1)</a:t>
                </a:r>
              </a:p>
            </c:rich>
          </c:tx>
          <c:layout>
            <c:manualLayout>
              <c:xMode val="edge"/>
              <c:yMode val="edge"/>
              <c:x val="0.49178329453004427"/>
              <c:y val="0.89749234470691164"/>
            </c:manualLayout>
          </c:layout>
          <c:overlay val="0"/>
          <c:spPr>
            <a:noFill/>
            <a:ln>
              <a:solidFill>
                <a:schemeClr val="bg1"/>
              </a:solidFill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771072"/>
        <c:crosses val="autoZero"/>
        <c:crossBetween val="midCat"/>
      </c:valAx>
      <c:valAx>
        <c:axId val="947710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(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.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/</a:t>
                </a:r>
                <a:r>
                  <a:rPr lang="en-US" sz="800" b="1" i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).10</a:t>
                </a:r>
                <a:r>
                  <a:rPr lang="en-US" sz="800" b="1" baseline="30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‒5 </a:t>
                </a:r>
                <a:r>
                  <a:rPr lang="en-US" sz="8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, mol cm L</a:t>
                </a:r>
                <a:r>
                  <a:rPr lang="en-US" sz="800" b="1" baseline="3000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‒1</a:t>
                </a:r>
              </a:p>
            </c:rich>
          </c:tx>
          <c:layout>
            <c:manualLayout>
              <c:xMode val="edge"/>
              <c:yMode val="edge"/>
              <c:x val="1.6505262423592397E-2"/>
              <c:y val="0.1620060513269174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94429952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0.52363</cdr:x>
      <cdr:y>0.62189</cdr:y>
    </cdr:from>
    <cdr:to>
      <cdr:x>0.7426</cdr:x>
      <cdr:y>0.75373</cdr:y>
    </cdr:to>
    <cdr:sp macro="" textlink="">
      <cdr:nvSpPr>
        <cdr:cNvPr id="9" name="Text Box 8"/>
        <cdr:cNvSpPr txBox="1"/>
      </cdr:nvSpPr>
      <cdr:spPr>
        <a:xfrm xmlns:a="http://schemas.openxmlformats.org/drawingml/2006/main">
          <a:off x="1501254" y="1705970"/>
          <a:ext cx="627797" cy="3616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0.51411</cdr:x>
      <cdr:y>0.54975</cdr:y>
    </cdr:from>
    <cdr:to>
      <cdr:x>0.71642</cdr:x>
      <cdr:y>0.68406</cdr:y>
    </cdr:to>
    <cdr:sp macro="" textlink="">
      <cdr:nvSpPr>
        <cdr:cNvPr id="10" name="Text Box 9"/>
        <cdr:cNvSpPr txBox="1"/>
      </cdr:nvSpPr>
      <cdr:spPr>
        <a:xfrm xmlns:a="http://schemas.openxmlformats.org/drawingml/2006/main">
          <a:off x="1473958" y="1508078"/>
          <a:ext cx="580030" cy="3684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2</cp:revision>
  <cp:lastPrinted>2014-12-03T09:33:00Z</cp:lastPrinted>
  <dcterms:created xsi:type="dcterms:W3CDTF">2017-01-18T09:57:00Z</dcterms:created>
  <dcterms:modified xsi:type="dcterms:W3CDTF">2017-01-18T09:57:00Z</dcterms:modified>
</cp:coreProperties>
</file>